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hint="eastAsia"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rPr>
          <w:kern w:val="0"/>
          <w:sz w:val="30"/>
          <w:szCs w:val="30"/>
        </w:rPr>
      </w:pPr>
    </w:p>
    <w:p>
      <w:pPr>
        <w:pStyle w:val="49"/>
        <w:spacing w:line="540" w:lineRule="exact"/>
        <w:rPr>
          <w:kern w:val="0"/>
          <w:sz w:val="30"/>
          <w:szCs w:val="30"/>
        </w:rPr>
      </w:pPr>
    </w:p>
    <w:p>
      <w:pPr>
        <w:pStyle w:val="49"/>
        <w:spacing w:line="700" w:lineRule="exact"/>
        <w:jc w:val="left"/>
        <w:rPr>
          <w:rFonts w:hint="default"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乡镇财政工作经费项目</w:t>
      </w:r>
    </w:p>
    <w:p>
      <w:pPr>
        <w:pStyle w:val="49"/>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TW"/>
        </w:rPr>
        <w:t>塔什库尔干县乡镇财政管理局</w:t>
      </w:r>
    </w:p>
    <w:p>
      <w:pPr>
        <w:pStyle w:val="49"/>
        <w:spacing w:line="700" w:lineRule="exact"/>
        <w:jc w:val="left"/>
        <w:rPr>
          <w:rFonts w:eastAsiaTheme="minorEastAsia"/>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TW"/>
        </w:rPr>
        <w:t>塔什库尔干县</w:t>
      </w:r>
      <w:r>
        <w:rPr>
          <w:rFonts w:hint="eastAsia" w:ascii="仿宋_GB2312" w:hAnsi="仿宋_GB2312" w:eastAsia="仿宋_GB2312" w:cs="仿宋_GB2312"/>
          <w:kern w:val="0"/>
          <w:sz w:val="36"/>
          <w:szCs w:val="36"/>
          <w:lang w:val="zh-TW"/>
        </w:rPr>
        <w:t>财政局</w:t>
      </w:r>
    </w:p>
    <w:p>
      <w:pPr>
        <w:pStyle w:val="49"/>
        <w:spacing w:line="700" w:lineRule="exact"/>
        <w:jc w:val="left"/>
        <w:rPr>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范军</w:t>
      </w:r>
    </w:p>
    <w:p>
      <w:pPr>
        <w:pStyle w:val="49"/>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 xml:space="preserve"> 12 </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 xml:space="preserve"> 1</w:t>
      </w:r>
      <w:r>
        <w:rPr>
          <w:rFonts w:hint="eastAsia" w:ascii="仿宋_GB2312" w:hAnsi="仿宋_GB2312" w:eastAsia="仿宋_GB2312" w:cs="仿宋_GB2312"/>
          <w:kern w:val="0"/>
          <w:sz w:val="36"/>
          <w:szCs w:val="36"/>
          <w:lang w:val="en-US" w:eastAsia="zh-CN"/>
        </w:rPr>
        <w:t>5</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日</w:t>
      </w:r>
    </w:p>
    <w:p>
      <w:pPr>
        <w:pStyle w:val="49"/>
        <w:keepNext w:val="0"/>
        <w:keepLines w:val="0"/>
        <w:pageBreakBefore w:val="0"/>
        <w:kinsoku/>
        <w:wordWrap/>
        <w:overflowPunct/>
        <w:topLinePunct w:val="0"/>
        <w:autoSpaceDE/>
        <w:autoSpaceDN/>
        <w:bidi w:val="0"/>
        <w:spacing w:line="560" w:lineRule="exact"/>
        <w:ind w:firstLine="627" w:firstLineChars="200"/>
        <w:jc w:val="left"/>
        <w:textAlignment w:val="auto"/>
        <w:rPr>
          <w:rStyle w:val="19"/>
          <w:rFonts w:ascii="黑体" w:hAnsi="黑体" w:eastAsia="黑体"/>
          <w:spacing w:val="-4"/>
          <w:sz w:val="32"/>
          <w:szCs w:val="32"/>
        </w:rPr>
      </w:pPr>
      <w:r>
        <w:rPr>
          <w:rStyle w:val="19"/>
          <w:rFonts w:hint="eastAsia" w:ascii="黑体" w:hAnsi="黑体" w:eastAsia="黑体"/>
          <w:spacing w:val="-4"/>
          <w:sz w:val="32"/>
          <w:szCs w:val="32"/>
        </w:rPr>
        <w:t>一、项目概况</w:t>
      </w:r>
    </w:p>
    <w:p>
      <w:pPr>
        <w:keepNext w:val="0"/>
        <w:keepLines w:val="0"/>
        <w:pageBreakBefore w:val="0"/>
        <w:kinsoku/>
        <w:wordWrap/>
        <w:overflowPunct/>
        <w:topLinePunct w:val="0"/>
        <w:autoSpaceDE/>
        <w:autoSpaceDN/>
        <w:bidi w:val="0"/>
        <w:adjustRightInd w:val="0"/>
        <w:snapToGrid w:val="0"/>
        <w:spacing w:line="560" w:lineRule="exact"/>
        <w:ind w:firstLine="584" w:firstLineChars="200"/>
        <w:textAlignment w:val="auto"/>
        <w:rPr>
          <w:rStyle w:val="19"/>
          <w:rFonts w:hint="eastAsia" w:ascii="黑体" w:hAnsi="楷体" w:eastAsia="黑体"/>
          <w:b w:val="0"/>
          <w:spacing w:val="-4"/>
          <w:sz w:val="30"/>
          <w:szCs w:val="30"/>
        </w:rPr>
      </w:pPr>
      <w:r>
        <w:rPr>
          <w:rStyle w:val="19"/>
          <w:rFonts w:hint="eastAsia" w:ascii="黑体" w:hAnsi="楷体" w:eastAsia="黑体"/>
          <w:b w:val="0"/>
          <w:spacing w:val="-4"/>
          <w:sz w:val="30"/>
          <w:szCs w:val="30"/>
        </w:rPr>
        <w:t>（一）项目单位基本情况</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塔什库尔干县乡镇财政管理局单位性质为事业单位，全额拨款，执行会计制度为事业会计制度。独立编制机构1个，独立编制机构与上年无变动。</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1．主要职能:</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sz w:val="32"/>
          <w:szCs w:val="32"/>
        </w:rPr>
      </w:pPr>
      <w:r>
        <w:rPr>
          <w:rFonts w:hint="eastAsia" w:ascii="仿宋_GB2312" w:eastAsia="仿宋_GB2312"/>
          <w:sz w:val="32"/>
          <w:szCs w:val="32"/>
        </w:rPr>
        <w:t xml:space="preserve">  </w:t>
      </w:r>
      <w:r>
        <w:rPr>
          <w:rFonts w:hint="eastAsia" w:ascii="仿宋_GB2312" w:hAnsi="仿宋" w:eastAsia="仿宋_GB2312"/>
          <w:sz w:val="32"/>
          <w:szCs w:val="32"/>
        </w:rPr>
        <w:t>落实国家政策，严格依法行政，发挥经济管理职能，加强政策引导，制定发展规划，服务市场主体和营造发展环境，搞好市场监管，大力促进社会事业发展，发展镇村经济、文化和社会事业，提供公共服务</w:t>
      </w:r>
      <w:bookmarkStart w:id="0" w:name="_GoBack"/>
      <w:bookmarkEnd w:id="0"/>
      <w:r>
        <w:rPr>
          <w:rFonts w:hint="eastAsia" w:ascii="仿宋_GB2312" w:hAnsi="仿宋" w:eastAsia="仿宋_GB2312"/>
          <w:sz w:val="32"/>
          <w:szCs w:val="32"/>
        </w:rPr>
        <w:t>，构建社会主义和谐社会。</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sz w:val="32"/>
          <w:szCs w:val="32"/>
        </w:rPr>
      </w:pPr>
      <w:r>
        <w:rPr>
          <w:rFonts w:hint="eastAsia" w:ascii="仿宋_GB2312" w:eastAsia="仿宋_GB2312"/>
          <w:sz w:val="32"/>
          <w:szCs w:val="32"/>
        </w:rPr>
        <w:t>保护社会主义的全民所有的财产和劳动群众集体所有的财产，保护公民私人所有的合法财产，维护社会秩序，保障公民的人身权利、民主权利和其他权利，保护各种经济组织的合法权益，办理上级人民政府交办的其他事项。</w:t>
      </w:r>
    </w:p>
    <w:p>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机构情况，包括当年变动情况及原因:</w:t>
      </w:r>
    </w:p>
    <w:p>
      <w:pPr>
        <w:keepNext w:val="0"/>
        <w:keepLines w:val="0"/>
        <w:pageBreakBefore w:val="0"/>
        <w:kinsoku/>
        <w:wordWrap/>
        <w:overflowPunct/>
        <w:topLinePunct w:val="0"/>
        <w:autoSpaceDE/>
        <w:autoSpaceDN/>
        <w:bidi w:val="0"/>
        <w:spacing w:line="560" w:lineRule="exact"/>
        <w:ind w:firstLine="960" w:firstLineChars="300"/>
        <w:textAlignment w:val="auto"/>
        <w:rPr>
          <w:rFonts w:ascii="仿宋_GB2312" w:hAnsi="仿宋" w:eastAsia="仿宋_GB2312"/>
          <w:sz w:val="32"/>
          <w:szCs w:val="32"/>
        </w:rPr>
      </w:pPr>
      <w:r>
        <w:rPr>
          <w:rFonts w:hint="eastAsia" w:ascii="仿宋_GB2312" w:eastAsia="仿宋_GB2312"/>
          <w:sz w:val="32"/>
          <w:szCs w:val="32"/>
        </w:rPr>
        <w:t>性质为事业单位，全额拨款，执行会计制度为事业会计制度。乡镇财政管理局独立编制机构</w:t>
      </w:r>
      <w:r>
        <w:rPr>
          <w:rFonts w:ascii="仿宋_GB2312" w:eastAsia="仿宋_GB2312"/>
          <w:sz w:val="32"/>
          <w:szCs w:val="32"/>
        </w:rPr>
        <w:t xml:space="preserve"> 1 </w:t>
      </w:r>
      <w:r>
        <w:rPr>
          <w:rFonts w:hint="eastAsia" w:ascii="仿宋_GB2312" w:eastAsia="仿宋_GB2312"/>
          <w:sz w:val="32"/>
          <w:szCs w:val="32"/>
        </w:rPr>
        <w:t>个，独立编制机构与上年无变动。</w:t>
      </w:r>
    </w:p>
    <w:p>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人员情况，包括当年变动情况及原因:</w:t>
      </w:r>
    </w:p>
    <w:p>
      <w:pPr>
        <w:keepNext w:val="0"/>
        <w:keepLines w:val="0"/>
        <w:pageBreakBefore w:val="0"/>
        <w:kinsoku/>
        <w:wordWrap/>
        <w:overflowPunct/>
        <w:topLinePunct w:val="0"/>
        <w:autoSpaceDE/>
        <w:autoSpaceDN/>
        <w:bidi w:val="0"/>
        <w:snapToGrid w:val="0"/>
        <w:spacing w:line="560" w:lineRule="exact"/>
        <w:ind w:left="420" w:leftChars="200" w:firstLine="320" w:firstLineChars="100"/>
        <w:textAlignment w:val="auto"/>
        <w:rPr>
          <w:rFonts w:ascii="仿宋_GB2312" w:hAnsi="仿宋" w:eastAsia="仿宋_GB2312"/>
          <w:sz w:val="32"/>
          <w:szCs w:val="32"/>
        </w:rPr>
      </w:pPr>
      <w:r>
        <w:rPr>
          <w:rFonts w:hint="eastAsia" w:ascii="仿宋_GB2312" w:eastAsia="仿宋_GB2312"/>
          <w:sz w:val="32"/>
          <w:szCs w:val="32"/>
        </w:rPr>
        <w:t>编制25人（按照编委文件填报），实有在职人数22人，其中：在职22人,比去年减少主要原因：一人调走。</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9"/>
          <w:rFonts w:ascii="楷体" w:hAnsi="楷体" w:eastAsia="楷体"/>
          <w:b w:val="0"/>
          <w:spacing w:val="-4"/>
          <w:sz w:val="32"/>
          <w:szCs w:val="32"/>
        </w:rPr>
      </w:pPr>
      <w:r>
        <w:rPr>
          <w:rStyle w:val="19"/>
          <w:rFonts w:hint="eastAsia" w:ascii="楷体" w:hAnsi="楷体" w:eastAsia="楷体"/>
          <w:b w:val="0"/>
          <w:spacing w:val="-4"/>
          <w:sz w:val="32"/>
          <w:szCs w:val="32"/>
        </w:rPr>
        <w:t>（二）项目预算</w:t>
      </w:r>
      <w:r>
        <w:rPr>
          <w:rStyle w:val="19"/>
          <w:rFonts w:ascii="楷体" w:hAnsi="楷体" w:eastAsia="楷体"/>
          <w:b w:val="0"/>
          <w:spacing w:val="-4"/>
          <w:sz w:val="32"/>
          <w:szCs w:val="32"/>
        </w:rPr>
        <w:t>绩效目标</w:t>
      </w:r>
      <w:r>
        <w:rPr>
          <w:rStyle w:val="19"/>
          <w:rFonts w:hint="eastAsia" w:ascii="楷体" w:hAnsi="楷体" w:eastAsia="楷体"/>
          <w:b w:val="0"/>
          <w:spacing w:val="-4"/>
          <w:sz w:val="32"/>
          <w:szCs w:val="32"/>
        </w:rPr>
        <w:t>设定情况</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Fonts w:ascii="仿宋" w:hAnsi="仿宋" w:eastAsia="仿宋"/>
          <w:bCs/>
          <w:spacing w:val="-4"/>
          <w:sz w:val="32"/>
          <w:szCs w:val="32"/>
        </w:rPr>
      </w:pPr>
      <w:r>
        <w:rPr>
          <w:rFonts w:hint="eastAsia" w:ascii="仿宋" w:hAnsi="仿宋" w:eastAsia="仿宋"/>
          <w:bCs/>
          <w:spacing w:val="-4"/>
          <w:sz w:val="32"/>
          <w:szCs w:val="32"/>
        </w:rPr>
        <w:t>1、项目预期目标及阶段性目标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sz w:val="32"/>
          <w:szCs w:val="32"/>
        </w:rPr>
      </w:pPr>
      <w:r>
        <w:rPr>
          <w:rFonts w:hint="eastAsia" w:ascii="仿宋_GB2312" w:eastAsia="仿宋_GB2312"/>
          <w:bCs/>
          <w:sz w:val="32"/>
          <w:szCs w:val="32"/>
        </w:rPr>
        <w:t>项目资金主要是财政拨款 (乡镇财政工作经费)，总计拨付3万元、主要财政业务的开展，集中学习财政法律法规及对财政专业知识进行数次培训5次，培训73人，以提高工作人员业务能力。</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Fonts w:ascii="仿宋" w:hAnsi="仿宋" w:eastAsia="仿宋"/>
          <w:bCs/>
          <w:spacing w:val="-4"/>
          <w:sz w:val="32"/>
          <w:szCs w:val="32"/>
        </w:rPr>
      </w:pPr>
      <w:r>
        <w:rPr>
          <w:rFonts w:hint="eastAsia" w:ascii="仿宋" w:hAnsi="仿宋" w:eastAsia="仿宋"/>
          <w:bCs/>
          <w:spacing w:val="-4"/>
          <w:sz w:val="32"/>
          <w:szCs w:val="32"/>
        </w:rPr>
        <w:t>2、项目基本性质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项目基本性质是新增性项目。</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Fonts w:ascii="仿宋" w:hAnsi="仿宋" w:eastAsia="仿宋"/>
          <w:bCs/>
          <w:spacing w:val="-4"/>
          <w:sz w:val="32"/>
          <w:szCs w:val="32"/>
        </w:rPr>
      </w:pPr>
      <w:r>
        <w:rPr>
          <w:rFonts w:hint="eastAsia" w:ascii="仿宋" w:hAnsi="仿宋" w:eastAsia="仿宋"/>
          <w:bCs/>
          <w:spacing w:val="-4"/>
          <w:sz w:val="32"/>
          <w:szCs w:val="32"/>
        </w:rPr>
        <w:t>3、项目用途及范围</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项目主要用于各乡镇财政所培训费相关支出，保证各乡镇财政所的正常工作进行及开展。</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黑体" w:eastAsia="黑体"/>
          <w:b/>
          <w:sz w:val="32"/>
          <w:szCs w:val="32"/>
        </w:rPr>
      </w:pPr>
      <w:r>
        <w:rPr>
          <w:rFonts w:hint="eastAsia" w:ascii="黑体" w:eastAsia="黑体"/>
          <w:b/>
          <w:sz w:val="32"/>
          <w:szCs w:val="32"/>
        </w:rPr>
        <w:t>二、项目资金使用及管理情况</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 w:val="0"/>
          <w:spacing w:val="-4"/>
          <w:sz w:val="32"/>
          <w:szCs w:val="32"/>
        </w:rPr>
      </w:pPr>
      <w:r>
        <w:rPr>
          <w:rStyle w:val="19"/>
          <w:rFonts w:hint="eastAsia" w:ascii="楷体" w:hAnsi="楷体" w:eastAsia="楷体"/>
          <w:b w:val="0"/>
          <w:spacing w:val="-4"/>
          <w:sz w:val="32"/>
          <w:szCs w:val="32"/>
        </w:rPr>
        <w:t>（一）项目资金安排落实、总投入等情况分析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eastAsia="仿宋_GB2312"/>
          <w:bCs/>
          <w:sz w:val="32"/>
          <w:szCs w:val="32"/>
        </w:rPr>
      </w:pPr>
      <w:r>
        <w:rPr>
          <w:rFonts w:hint="eastAsia" w:ascii="仿宋_GB2312" w:eastAsia="仿宋_GB2312"/>
          <w:sz w:val="32"/>
          <w:szCs w:val="32"/>
        </w:rPr>
        <w:t>乡镇财政工作经费</w:t>
      </w:r>
      <w:r>
        <w:rPr>
          <w:rFonts w:hint="eastAsia" w:ascii="仿宋_GB2312" w:eastAsia="仿宋_GB2312"/>
          <w:bCs/>
          <w:sz w:val="32"/>
          <w:szCs w:val="32"/>
        </w:rPr>
        <w:t>项目预算安排总额为3万元。</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 w:val="0"/>
          <w:spacing w:val="-4"/>
          <w:sz w:val="32"/>
          <w:szCs w:val="32"/>
        </w:rPr>
      </w:pPr>
      <w:r>
        <w:rPr>
          <w:rStyle w:val="19"/>
          <w:rFonts w:hint="eastAsia" w:ascii="楷体" w:hAnsi="楷体" w:eastAsia="楷体"/>
          <w:b w:val="0"/>
          <w:spacing w:val="-4"/>
          <w:sz w:val="32"/>
          <w:szCs w:val="32"/>
        </w:rPr>
        <w:t>（二）项目资金实际使用情况分析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本项目实际支付资金3万元，预算执行率100</w:t>
      </w:r>
      <w:r>
        <w:rPr>
          <w:rFonts w:ascii="仿宋_GB2312" w:eastAsia="仿宋_GB2312"/>
          <w:sz w:val="32"/>
          <w:szCs w:val="32"/>
        </w:rPr>
        <w:t>%</w:t>
      </w:r>
      <w:r>
        <w:rPr>
          <w:rFonts w:hint="eastAsia" w:ascii="仿宋_GB2312" w:eastAsia="仿宋_GB2312"/>
          <w:sz w:val="32"/>
          <w:szCs w:val="32"/>
        </w:rPr>
        <w:t>，项目资金主要用于支付乡镇财政培训费用3万元。</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 w:val="0"/>
          <w:spacing w:val="-4"/>
          <w:sz w:val="32"/>
          <w:szCs w:val="32"/>
        </w:rPr>
      </w:pPr>
      <w:r>
        <w:rPr>
          <w:rStyle w:val="19"/>
          <w:rFonts w:hint="eastAsia" w:ascii="楷体" w:hAnsi="楷体" w:eastAsia="楷体"/>
          <w:b w:val="0"/>
          <w:spacing w:val="-4"/>
          <w:sz w:val="32"/>
          <w:szCs w:val="32"/>
        </w:rPr>
        <w:t>（三）项目资金管理情况分析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 w:hAnsi="仿宋" w:eastAsia="仿宋"/>
          <w:bCs/>
          <w:spacing w:val="-4"/>
          <w:sz w:val="32"/>
          <w:szCs w:val="32"/>
        </w:rPr>
      </w:pPr>
      <w:r>
        <w:rPr>
          <w:rFonts w:hint="eastAsia" w:ascii="仿宋_GB2312" w:eastAsia="仿宋_GB2312"/>
          <w:sz w:val="32"/>
          <w:szCs w:val="32"/>
        </w:rPr>
        <w:t>本项目支出符合喀什地区塔什库尔干县住房保障事务中心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kinsoku/>
        <w:wordWrap/>
        <w:overflowPunct/>
        <w:topLinePunct w:val="0"/>
        <w:autoSpaceDE/>
        <w:autoSpaceDN/>
        <w:bidi w:val="0"/>
        <w:adjustRightInd w:val="0"/>
        <w:snapToGrid w:val="0"/>
        <w:spacing w:line="560" w:lineRule="exact"/>
        <w:ind w:firstLine="627" w:firstLineChars="200"/>
        <w:textAlignment w:val="auto"/>
        <w:outlineLvl w:val="0"/>
        <w:rPr>
          <w:rStyle w:val="19"/>
          <w:rFonts w:ascii="黑体" w:hAnsi="黑体" w:eastAsia="黑体"/>
          <w:spacing w:val="-4"/>
          <w:sz w:val="32"/>
          <w:szCs w:val="32"/>
        </w:rPr>
      </w:pPr>
      <w:r>
        <w:rPr>
          <w:rStyle w:val="19"/>
          <w:rFonts w:hint="eastAsia" w:ascii="黑体" w:hAnsi="黑体" w:eastAsia="黑体"/>
          <w:spacing w:val="-4"/>
          <w:sz w:val="32"/>
          <w:szCs w:val="32"/>
        </w:rPr>
        <w:t>三、项目组织实施情况</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 w:val="0"/>
          <w:spacing w:val="-4"/>
          <w:sz w:val="32"/>
          <w:szCs w:val="32"/>
        </w:rPr>
      </w:pPr>
      <w:r>
        <w:rPr>
          <w:rStyle w:val="19"/>
          <w:rFonts w:hint="eastAsia" w:ascii="楷体" w:hAnsi="楷体" w:eastAsia="楷体"/>
          <w:b w:val="0"/>
          <w:spacing w:val="-4"/>
          <w:sz w:val="32"/>
          <w:szCs w:val="32"/>
        </w:rPr>
        <w:t>（一）项目组织情况分析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该项目属于新增性零星项目,没有达到招投标限额,由本单位自行组织实施。实施过程均按照本单位制定的管理制度执行。</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本项目不存在调整情况。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为保证项目质量和成本控制，项目实施完成后，由本项目相关人员于2018年12月10日完成检查验收，检查验收合格后按合同规定支付款项。</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 w:val="0"/>
          <w:spacing w:val="-4"/>
          <w:sz w:val="32"/>
          <w:szCs w:val="32"/>
        </w:rPr>
      </w:pPr>
      <w:r>
        <w:rPr>
          <w:rStyle w:val="19"/>
          <w:rFonts w:hint="eastAsia" w:ascii="楷体" w:hAnsi="楷体" w:eastAsia="楷体"/>
          <w:b w:val="0"/>
          <w:spacing w:val="-4"/>
          <w:sz w:val="32"/>
          <w:szCs w:val="32"/>
        </w:rPr>
        <w:t>（二）项目管理情况分析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eastAsia="仿宋_GB2312"/>
          <w:sz w:val="32"/>
          <w:szCs w:val="32"/>
        </w:rPr>
      </w:pPr>
      <w:r>
        <w:rPr>
          <w:rFonts w:hint="eastAsia" w:ascii="仿宋_GB2312" w:eastAsia="仿宋_GB2312"/>
          <w:bCs/>
          <w:sz w:val="32"/>
          <w:szCs w:val="32"/>
        </w:rPr>
        <w:t>项目实施过程中，喀什地区塔什库尔干县住房保障事务中心建立了《喀什区塔什库尔干县廉租住房申请审核业务手册》保障项目的顺利实施。项目的实施遵守相关法律法规和业务管理规定，项目资料齐全并及时归档。已建立《喀什区塔什库尔干县日常检查监督检查机制》，不定期对项目进度情况进行督导检查，对检查过程中发现的问题及时督促整改，确保了项目按时保质完成。</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eastAsia="黑体"/>
          <w:b/>
          <w:sz w:val="32"/>
          <w:szCs w:val="32"/>
        </w:rPr>
      </w:pPr>
      <w:r>
        <w:rPr>
          <w:rFonts w:hint="eastAsia" w:ascii="黑体" w:eastAsia="黑体"/>
          <w:b/>
          <w:sz w:val="32"/>
          <w:szCs w:val="32"/>
        </w:rPr>
        <w:t>四、项目绩效情况</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Style w:val="19"/>
          <w:rFonts w:ascii="楷体" w:hAnsi="楷体" w:eastAsia="楷体"/>
          <w:bCs w:val="0"/>
          <w:spacing w:val="-4"/>
          <w:sz w:val="32"/>
          <w:szCs w:val="32"/>
        </w:rPr>
      </w:pPr>
      <w:r>
        <w:rPr>
          <w:rFonts w:hint="eastAsia" w:ascii="楷体" w:hAnsi="楷体" w:eastAsia="楷体"/>
          <w:spacing w:val="-4"/>
          <w:sz w:val="32"/>
          <w:szCs w:val="32"/>
        </w:rPr>
        <w:t>（一）项目绩效目标完成情况分析</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1、数量指标</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乡镇财政管理局举办乡镇财政所培训</w:t>
      </w:r>
      <w:r>
        <w:rPr>
          <w:rFonts w:hint="eastAsia" w:ascii="仿宋_GB2312" w:eastAsia="仿宋_GB2312"/>
          <w:sz w:val="32"/>
          <w:szCs w:val="32"/>
        </w:rPr>
        <w:t>5次，培训73人，</w:t>
      </w:r>
      <w:r>
        <w:rPr>
          <w:rFonts w:hint="eastAsia" w:ascii="仿宋_GB2312" w:eastAsia="仿宋_GB2312"/>
          <w:bCs/>
          <w:sz w:val="32"/>
          <w:szCs w:val="32"/>
        </w:rPr>
        <w:t>，完成率100%。</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2、质量指标</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乡镇财政管理局举办乡镇财政所培训一批，考核合格率100%。</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3、时效指标</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乡镇财政管理局举办乡镇财政所培训一批，完成及时率100%。</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4、成本指标</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该项目投资估算是3万元，实际完成投资是3万元，比投资估算额节约了0万元。</w:t>
      </w:r>
    </w:p>
    <w:p>
      <w:pPr>
        <w:keepNext w:val="0"/>
        <w:keepLines w:val="0"/>
        <w:pageBreakBefore w:val="0"/>
        <w:numPr>
          <w:ilvl w:val="0"/>
          <w:numId w:val="2"/>
        </w:numPr>
        <w:kinsoku/>
        <w:wordWrap/>
        <w:overflowPunct/>
        <w:topLinePunct w:val="0"/>
        <w:autoSpaceDE/>
        <w:autoSpaceDN/>
        <w:bidi w:val="0"/>
        <w:spacing w:line="560" w:lineRule="exact"/>
        <w:ind w:firstLine="640" w:firstLineChars="200"/>
        <w:jc w:val="left"/>
        <w:textAlignment w:val="auto"/>
        <w:rPr>
          <w:rFonts w:ascii="仿宋_GB2312" w:eastAsia="仿宋_GB2312"/>
          <w:bCs/>
          <w:sz w:val="32"/>
          <w:szCs w:val="32"/>
        </w:rPr>
      </w:pPr>
      <w:r>
        <w:rPr>
          <w:rFonts w:hint="eastAsia" w:ascii="仿宋_GB2312" w:eastAsia="仿宋_GB2312"/>
          <w:bCs/>
          <w:sz w:val="32"/>
          <w:szCs w:val="32"/>
        </w:rPr>
        <w:t>满意度指标</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eastAsia="仿宋_GB2312"/>
          <w:bCs/>
          <w:sz w:val="32"/>
          <w:szCs w:val="32"/>
        </w:rPr>
        <w:t>乡镇财政管理局举办乡镇财政所培训</w:t>
      </w:r>
      <w:r>
        <w:rPr>
          <w:rFonts w:hint="eastAsia" w:ascii="仿宋_GB2312" w:eastAsia="仿宋_GB2312"/>
          <w:sz w:val="32"/>
          <w:szCs w:val="32"/>
        </w:rPr>
        <w:t>5次，培训73人</w:t>
      </w:r>
      <w:r>
        <w:rPr>
          <w:rFonts w:hint="eastAsia" w:ascii="仿宋_GB2312" w:eastAsia="仿宋_GB2312"/>
          <w:bCs/>
          <w:sz w:val="32"/>
          <w:szCs w:val="32"/>
        </w:rPr>
        <w:t>，满意度100%。</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Fonts w:ascii="楷体" w:hAnsi="楷体" w:eastAsia="楷体"/>
          <w:spacing w:val="-4"/>
          <w:sz w:val="32"/>
          <w:szCs w:val="32"/>
        </w:rPr>
      </w:pPr>
      <w:r>
        <w:rPr>
          <w:rFonts w:hint="eastAsia" w:ascii="楷体" w:hAnsi="楷体" w:eastAsia="楷体"/>
          <w:spacing w:val="-4"/>
          <w:sz w:val="32"/>
          <w:szCs w:val="32"/>
        </w:rPr>
        <w:t>（二）项目绩效目标未完成原因分析</w:t>
      </w:r>
    </w:p>
    <w:p>
      <w:pPr>
        <w:keepNext w:val="0"/>
        <w:keepLines w:val="0"/>
        <w:pageBreakBefore w:val="0"/>
        <w:kinsoku/>
        <w:wordWrap/>
        <w:overflowPunct/>
        <w:topLinePunct w:val="0"/>
        <w:autoSpaceDE/>
        <w:autoSpaceDN/>
        <w:bidi w:val="0"/>
        <w:adjustRightInd w:val="0"/>
        <w:snapToGrid w:val="0"/>
        <w:spacing w:line="560" w:lineRule="exact"/>
        <w:ind w:firstLine="1600" w:firstLineChars="500"/>
        <w:textAlignment w:val="auto"/>
        <w:rPr>
          <w:rFonts w:ascii="仿宋_GB2312" w:eastAsia="仿宋_GB2312"/>
          <w:bCs/>
          <w:sz w:val="32"/>
          <w:szCs w:val="32"/>
        </w:rPr>
      </w:pPr>
      <w:r>
        <w:rPr>
          <w:rFonts w:hint="eastAsia" w:ascii="仿宋_GB2312" w:eastAsia="仿宋_GB2312"/>
          <w:bCs/>
          <w:sz w:val="32"/>
          <w:szCs w:val="32"/>
        </w:rPr>
        <w:t>无</w:t>
      </w:r>
    </w:p>
    <w:p>
      <w:pPr>
        <w:keepNext w:val="0"/>
        <w:keepLines w:val="0"/>
        <w:pageBreakBefore w:val="0"/>
        <w:kinsoku/>
        <w:wordWrap/>
        <w:overflowPunct/>
        <w:topLinePunct w:val="0"/>
        <w:autoSpaceDE/>
        <w:autoSpaceDN/>
        <w:bidi w:val="0"/>
        <w:adjustRightInd w:val="0"/>
        <w:snapToGrid w:val="0"/>
        <w:spacing w:line="560" w:lineRule="exact"/>
        <w:ind w:firstLine="627" w:firstLineChars="200"/>
        <w:textAlignment w:val="auto"/>
        <w:outlineLvl w:val="0"/>
        <w:rPr>
          <w:rStyle w:val="19"/>
          <w:rFonts w:ascii="黑体" w:hAnsi="黑体" w:eastAsia="黑体"/>
          <w:spacing w:val="-4"/>
          <w:sz w:val="32"/>
          <w:szCs w:val="32"/>
        </w:rPr>
      </w:pPr>
      <w:r>
        <w:rPr>
          <w:rStyle w:val="19"/>
          <w:rFonts w:hint="eastAsia" w:ascii="黑体" w:hAnsi="黑体" w:eastAsia="黑体"/>
          <w:spacing w:val="-4"/>
          <w:sz w:val="32"/>
          <w:szCs w:val="32"/>
        </w:rPr>
        <w:t>五、其他需要说明的问题</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Fonts w:hint="eastAsia" w:ascii="楷体" w:hAnsi="楷体" w:eastAsia="楷体"/>
          <w:spacing w:val="-4"/>
          <w:sz w:val="32"/>
          <w:szCs w:val="32"/>
        </w:rPr>
      </w:pPr>
      <w:r>
        <w:rPr>
          <w:rFonts w:hint="eastAsia" w:ascii="楷体" w:hAnsi="楷体" w:eastAsia="楷体"/>
          <w:spacing w:val="-4"/>
          <w:sz w:val="32"/>
          <w:szCs w:val="32"/>
        </w:rPr>
        <w:t>（一）后续工作计划</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仿宋_GB2312" w:hAnsi="Times New Roman" w:eastAsia="仿宋_GB2312" w:cs="Times New Roman"/>
          <w:bCs/>
          <w:kern w:val="2"/>
          <w:sz w:val="32"/>
          <w:szCs w:val="32"/>
        </w:rPr>
      </w:pPr>
      <w:r>
        <w:rPr>
          <w:rFonts w:hint="eastAsia" w:ascii="仿宋_GB2312" w:hAnsi="Times New Roman" w:eastAsia="仿宋_GB2312" w:cs="Times New Roman"/>
          <w:bCs/>
          <w:kern w:val="2"/>
          <w:sz w:val="32"/>
          <w:szCs w:val="32"/>
        </w:rPr>
        <w:t>为进一步做好乡镇财政所项目的后续管理工作：</w:t>
      </w:r>
      <w:r>
        <w:rPr>
          <w:rFonts w:ascii="仿宋_GB2312" w:hAnsi="Times New Roman" w:eastAsia="仿宋_GB2312" w:cs="Times New Roman"/>
          <w:bCs/>
          <w:kern w:val="2"/>
          <w:sz w:val="32"/>
          <w:szCs w:val="32"/>
        </w:rPr>
        <w:t>１、制定切实可行的资金使用计划方案并及时上报县财政局，县财政</w:t>
      </w:r>
      <w:r>
        <w:rPr>
          <w:rFonts w:hint="eastAsia" w:ascii="仿宋_GB2312" w:hAnsi="Times New Roman" w:eastAsia="仿宋_GB2312" w:cs="Times New Roman"/>
          <w:bCs/>
          <w:kern w:val="2"/>
          <w:sz w:val="32"/>
          <w:szCs w:val="32"/>
        </w:rPr>
        <w:t>局</w:t>
      </w:r>
      <w:r>
        <w:rPr>
          <w:rFonts w:ascii="仿宋_GB2312" w:hAnsi="Times New Roman" w:eastAsia="仿宋_GB2312" w:cs="Times New Roman"/>
          <w:bCs/>
          <w:kern w:val="2"/>
          <w:sz w:val="32"/>
          <w:szCs w:val="32"/>
        </w:rPr>
        <w:t>对上报计划进行严格审核后下文，按需及时下拨资金指标。</w:t>
      </w:r>
      <w:r>
        <w:rPr>
          <w:rFonts w:hint="eastAsia" w:ascii="仿宋_GB2312" w:hAnsi="Times New Roman" w:eastAsia="仿宋_GB2312" w:cs="Times New Roman"/>
          <w:bCs/>
          <w:kern w:val="2"/>
          <w:sz w:val="32"/>
          <w:szCs w:val="32"/>
        </w:rPr>
        <w:t>2</w:t>
      </w:r>
      <w:r>
        <w:rPr>
          <w:rFonts w:ascii="仿宋_GB2312" w:hAnsi="Times New Roman" w:eastAsia="仿宋_GB2312" w:cs="Times New Roman"/>
          <w:bCs/>
          <w:kern w:val="2"/>
          <w:sz w:val="32"/>
          <w:szCs w:val="32"/>
        </w:rPr>
        <w:t>、确保专项资金的专款专用，坚决杜绝截留、挤占、挪用、虚列支出等现象</w:t>
      </w:r>
      <w:r>
        <w:rPr>
          <w:rFonts w:hint="eastAsia" w:ascii="仿宋_GB2312" w:hAnsi="Times New Roman" w:eastAsia="仿宋_GB2312" w:cs="Times New Roman"/>
          <w:bCs/>
          <w:kern w:val="2"/>
          <w:sz w:val="32"/>
          <w:szCs w:val="32"/>
        </w:rPr>
        <w:t>。</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firstLine="624" w:firstLineChars="200"/>
        <w:textAlignment w:val="auto"/>
        <w:outlineLvl w:val="0"/>
        <w:rPr>
          <w:rFonts w:hint="eastAsia" w:ascii="楷体" w:hAnsi="楷体" w:eastAsia="楷体"/>
          <w:spacing w:val="-4"/>
          <w:sz w:val="32"/>
          <w:szCs w:val="32"/>
        </w:rPr>
      </w:pPr>
      <w:r>
        <w:rPr>
          <w:rFonts w:hint="eastAsia" w:ascii="楷体" w:hAnsi="楷体" w:eastAsia="楷体"/>
          <w:spacing w:val="-4"/>
          <w:sz w:val="32"/>
          <w:szCs w:val="32"/>
        </w:rPr>
        <w:t>主要经验及做法、存在问题和建议</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ascii="仿宋_GB2312" w:hAnsi="Times New Roman" w:eastAsia="仿宋_GB2312" w:cs="Times New Roman"/>
          <w:bCs/>
          <w:kern w:val="2"/>
          <w:sz w:val="32"/>
          <w:szCs w:val="32"/>
        </w:rPr>
      </w:pPr>
      <w:r>
        <w:rPr>
          <w:rFonts w:hint="eastAsia" w:ascii="仿宋_GB2312" w:hAnsi="Times New Roman" w:eastAsia="仿宋_GB2312" w:cs="Times New Roman"/>
          <w:bCs/>
          <w:kern w:val="2"/>
          <w:sz w:val="32"/>
          <w:szCs w:val="32"/>
        </w:rPr>
        <w:t>1、主要经验及做法：2018年，我局紧紧围绕年初制定的工作方案，切实履行职责，主动积极作为，加强业务培训和法律宣传，提高各业务股室业务知识水平和实际操作技能，确保该项目顺利实施、保证了工作质量；</w:t>
      </w:r>
      <w:r>
        <w:rPr>
          <w:rFonts w:ascii="仿宋_GB2312" w:hAnsi="Times New Roman" w:eastAsia="仿宋_GB2312" w:cs="Times New Roman"/>
          <w:bCs/>
          <w:kern w:val="2"/>
          <w:sz w:val="32"/>
          <w:szCs w:val="32"/>
        </w:rPr>
        <w:t>确保专项资金的专款专用</w:t>
      </w:r>
      <w:r>
        <w:rPr>
          <w:rFonts w:hint="eastAsia" w:ascii="仿宋_GB2312" w:hAnsi="Times New Roman" w:eastAsia="仿宋_GB2312" w:cs="Times New Roman"/>
          <w:bCs/>
          <w:kern w:val="2"/>
          <w:sz w:val="32"/>
          <w:szCs w:val="32"/>
        </w:rPr>
        <w:t>，</w:t>
      </w:r>
      <w:r>
        <w:rPr>
          <w:rFonts w:ascii="仿宋_GB2312" w:hAnsi="Times New Roman" w:eastAsia="仿宋_GB2312" w:cs="Times New Roman"/>
          <w:bCs/>
          <w:kern w:val="2"/>
          <w:sz w:val="32"/>
          <w:szCs w:val="32"/>
        </w:rPr>
        <w:t>坚决杜绝</w:t>
      </w:r>
      <w:r>
        <w:rPr>
          <w:rFonts w:hint="eastAsia" w:ascii="仿宋_GB2312" w:hAnsi="Times New Roman" w:eastAsia="仿宋_GB2312" w:cs="Times New Roman"/>
          <w:bCs/>
          <w:kern w:val="2"/>
          <w:sz w:val="32"/>
          <w:szCs w:val="32"/>
        </w:rPr>
        <w:t>了</w:t>
      </w:r>
      <w:r>
        <w:rPr>
          <w:rFonts w:ascii="仿宋_GB2312" w:hAnsi="Times New Roman" w:eastAsia="仿宋_GB2312" w:cs="Times New Roman"/>
          <w:bCs/>
          <w:kern w:val="2"/>
          <w:sz w:val="32"/>
          <w:szCs w:val="32"/>
        </w:rPr>
        <w:t>截留、挤占、挪用、虚列支出等现象</w:t>
      </w:r>
      <w:r>
        <w:rPr>
          <w:rFonts w:hint="eastAsia" w:ascii="仿宋_GB2312" w:hAnsi="Times New Roman" w:eastAsia="仿宋_GB2312" w:cs="Times New Roman"/>
          <w:bCs/>
          <w:kern w:val="2"/>
          <w:sz w:val="32"/>
          <w:szCs w:val="32"/>
        </w:rPr>
        <w:t>。</w:t>
      </w:r>
    </w:p>
    <w:p>
      <w:pPr>
        <w:pStyle w:val="16"/>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Times New Roman" w:eastAsia="仿宋_GB2312" w:cs="Times New Roman"/>
          <w:bCs/>
          <w:kern w:val="2"/>
          <w:sz w:val="32"/>
          <w:szCs w:val="32"/>
        </w:rPr>
      </w:pPr>
      <w:r>
        <w:rPr>
          <w:rFonts w:hint="eastAsia" w:ascii="仿宋_GB2312" w:hAnsi="Times New Roman" w:eastAsia="仿宋_GB2312" w:cs="Times New Roman"/>
          <w:bCs/>
          <w:kern w:val="2"/>
          <w:sz w:val="32"/>
          <w:szCs w:val="32"/>
        </w:rPr>
        <w:t>2、存在的问题：由于绩效自评是一项开展不久的工作任务，项目支出运行实践经验还欠缺，我局相关人员配备还显不足，相关制度建设还有待进一步加强。</w:t>
      </w:r>
    </w:p>
    <w:p>
      <w:pPr>
        <w:pStyle w:val="16"/>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Times New Roman" w:eastAsia="仿宋_GB2312" w:cs="Times New Roman"/>
          <w:bCs/>
          <w:kern w:val="2"/>
          <w:sz w:val="32"/>
          <w:szCs w:val="32"/>
        </w:rPr>
      </w:pPr>
      <w:r>
        <w:rPr>
          <w:rFonts w:hint="eastAsia" w:ascii="仿宋_GB2312" w:hAnsi="Times New Roman" w:eastAsia="仿宋_GB2312" w:cs="Times New Roman"/>
          <w:bCs/>
          <w:kern w:val="2"/>
          <w:sz w:val="32"/>
          <w:szCs w:val="32"/>
        </w:rPr>
        <w:t>3、建议：我局将尽可能地用有限的经费平衡每年培训工作任务，尽量做到科学、合理的分配资金。</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Fonts w:hint="eastAsia" w:ascii="楷体" w:hAnsi="楷体" w:eastAsia="楷体"/>
          <w:spacing w:val="-4"/>
          <w:sz w:val="32"/>
          <w:szCs w:val="32"/>
        </w:rPr>
      </w:pPr>
      <w:r>
        <w:rPr>
          <w:rFonts w:hint="eastAsia" w:ascii="楷体" w:hAnsi="楷体" w:eastAsia="楷体"/>
          <w:spacing w:val="-4"/>
          <w:sz w:val="32"/>
          <w:szCs w:val="32"/>
        </w:rPr>
        <w:t>（三）其他</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outlineLvl w:val="0"/>
        <w:rPr>
          <w:rFonts w:hint="eastAsia" w:ascii="楷体" w:hAnsi="楷体" w:eastAsia="楷体"/>
          <w:spacing w:val="-4"/>
          <w:sz w:val="32"/>
          <w:szCs w:val="32"/>
          <w:lang w:val="en-US" w:eastAsia="zh-CN"/>
        </w:rPr>
      </w:pPr>
      <w:r>
        <w:rPr>
          <w:rFonts w:hint="eastAsia" w:ascii="楷体" w:hAnsi="楷体" w:eastAsia="楷体"/>
          <w:spacing w:val="-4"/>
          <w:sz w:val="32"/>
          <w:szCs w:val="32"/>
          <w:lang w:val="en-US" w:eastAsia="zh-CN"/>
        </w:rPr>
        <w:t>无。</w:t>
      </w:r>
    </w:p>
    <w:p>
      <w:pPr>
        <w:keepNext w:val="0"/>
        <w:keepLines w:val="0"/>
        <w:pageBreakBefore w:val="0"/>
        <w:kinsoku/>
        <w:wordWrap/>
        <w:overflowPunct/>
        <w:topLinePunct w:val="0"/>
        <w:autoSpaceDE/>
        <w:autoSpaceDN/>
        <w:bidi w:val="0"/>
        <w:adjustRightInd w:val="0"/>
        <w:snapToGrid w:val="0"/>
        <w:spacing w:line="560" w:lineRule="exact"/>
        <w:ind w:firstLine="627" w:firstLineChars="200"/>
        <w:textAlignment w:val="auto"/>
        <w:outlineLvl w:val="0"/>
        <w:rPr>
          <w:rFonts w:ascii="黑体" w:hAnsi="黑体" w:eastAsia="黑体"/>
          <w:bCs/>
          <w:spacing w:val="-4"/>
          <w:sz w:val="32"/>
          <w:szCs w:val="32"/>
        </w:rPr>
      </w:pPr>
      <w:r>
        <w:rPr>
          <w:rStyle w:val="19"/>
          <w:rFonts w:hint="eastAsia" w:ascii="黑体" w:hAnsi="黑体" w:eastAsia="黑体"/>
          <w:spacing w:val="-4"/>
          <w:sz w:val="32"/>
          <w:szCs w:val="32"/>
        </w:rPr>
        <w:t>六、项目评价工作情况</w:t>
      </w:r>
    </w:p>
    <w:p>
      <w:pPr>
        <w:pStyle w:val="16"/>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Times New Roman" w:eastAsia="仿宋_GB2312" w:cs="Times New Roman"/>
          <w:bCs/>
          <w:kern w:val="2"/>
          <w:sz w:val="32"/>
          <w:szCs w:val="32"/>
        </w:rPr>
      </w:pPr>
      <w:r>
        <w:rPr>
          <w:rFonts w:hint="eastAsia" w:ascii="仿宋_GB2312" w:hAnsi="Times New Roman" w:eastAsia="仿宋_GB2312" w:cs="Times New Roman"/>
          <w:bCs/>
          <w:kern w:val="2"/>
          <w:sz w:val="32"/>
          <w:szCs w:val="32"/>
        </w:rPr>
        <w:t>本次评价通过全面了解乡镇财政工作经费项目资金的使用效率和效果，项目管理过程规范，完成了预期绩效目标等。同时，通过开展自我评价来总结经验和教训，为喀什地区塔什库尔干县乡镇财政工作经费项目今后的开展提供参考建议。</w:t>
      </w:r>
    </w:p>
    <w:p>
      <w:pPr>
        <w:keepNext w:val="0"/>
        <w:keepLines w:val="0"/>
        <w:pageBreakBefore w:val="0"/>
        <w:kinsoku/>
        <w:wordWrap/>
        <w:overflowPunct/>
        <w:topLinePunct w:val="0"/>
        <w:autoSpaceDE/>
        <w:autoSpaceDN/>
        <w:bidi w:val="0"/>
        <w:adjustRightInd w:val="0"/>
        <w:snapToGrid w:val="0"/>
        <w:spacing w:line="560" w:lineRule="exact"/>
        <w:ind w:firstLine="627" w:firstLineChars="200"/>
        <w:textAlignment w:val="auto"/>
        <w:outlineLvl w:val="0"/>
        <w:rPr>
          <w:rStyle w:val="19"/>
          <w:rFonts w:ascii="黑体" w:hAnsi="黑体" w:eastAsia="黑体"/>
          <w:spacing w:val="-4"/>
          <w:sz w:val="32"/>
          <w:szCs w:val="32"/>
        </w:rPr>
      </w:pPr>
      <w:r>
        <w:rPr>
          <w:rStyle w:val="19"/>
          <w:rFonts w:hint="eastAsia" w:ascii="黑体" w:hAnsi="黑体" w:eastAsia="黑体"/>
          <w:spacing w:val="-4"/>
          <w:sz w:val="32"/>
          <w:szCs w:val="32"/>
        </w:rPr>
        <w:t>七、附表</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keepNext w:val="0"/>
        <w:keepLines w:val="0"/>
        <w:pageBreakBefore w:val="0"/>
        <w:kinsoku/>
        <w:wordWrap/>
        <w:overflowPunct/>
        <w:topLinePunct w:val="0"/>
        <w:autoSpaceDE/>
        <w:autoSpaceDN/>
        <w:bidi w:val="0"/>
        <w:adjustRightInd w:val="0"/>
        <w:snapToGrid w:val="0"/>
        <w:spacing w:line="560" w:lineRule="exact"/>
        <w:ind w:firstLine="627" w:firstLineChars="200"/>
        <w:textAlignment w:val="auto"/>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16D701"/>
    <w:multiLevelType w:val="singleLevel"/>
    <w:tmpl w:val="CF16D701"/>
    <w:lvl w:ilvl="0" w:tentative="0">
      <w:start w:val="5"/>
      <w:numFmt w:val="decimal"/>
      <w:suff w:val="nothing"/>
      <w:lvlText w:val="%1、"/>
      <w:lvlJc w:val="left"/>
    </w:lvl>
  </w:abstractNum>
  <w:abstractNum w:abstractNumId="1">
    <w:nsid w:val="2F10045C"/>
    <w:multiLevelType w:val="singleLevel"/>
    <w:tmpl w:val="2F10045C"/>
    <w:lvl w:ilvl="0" w:tentative="0">
      <w:start w:val="2"/>
      <w:numFmt w:val="decimal"/>
      <w:suff w:val="nothing"/>
      <w:lvlText w:val="%1．"/>
      <w:lvlJc w:val="left"/>
    </w:lvl>
  </w:abstractNum>
  <w:abstractNum w:abstractNumId="2">
    <w:nsid w:val="766CA1E9"/>
    <w:multiLevelType w:val="singleLevel"/>
    <w:tmpl w:val="766CA1E9"/>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4BC5"/>
    <w:rsid w:val="0012208E"/>
    <w:rsid w:val="00135256"/>
    <w:rsid w:val="001A4E1F"/>
    <w:rsid w:val="001A57B9"/>
    <w:rsid w:val="001C3847"/>
    <w:rsid w:val="001F3031"/>
    <w:rsid w:val="001F6590"/>
    <w:rsid w:val="00210A26"/>
    <w:rsid w:val="00250B57"/>
    <w:rsid w:val="002A2532"/>
    <w:rsid w:val="002A2D76"/>
    <w:rsid w:val="002A6281"/>
    <w:rsid w:val="00313692"/>
    <w:rsid w:val="00354853"/>
    <w:rsid w:val="00365250"/>
    <w:rsid w:val="0036624C"/>
    <w:rsid w:val="00385849"/>
    <w:rsid w:val="003A6026"/>
    <w:rsid w:val="003F1A98"/>
    <w:rsid w:val="0050167F"/>
    <w:rsid w:val="00514506"/>
    <w:rsid w:val="005162F1"/>
    <w:rsid w:val="00516E80"/>
    <w:rsid w:val="00535153"/>
    <w:rsid w:val="00575CFE"/>
    <w:rsid w:val="00583AFC"/>
    <w:rsid w:val="00592D09"/>
    <w:rsid w:val="005F7496"/>
    <w:rsid w:val="00675D58"/>
    <w:rsid w:val="006F2E6D"/>
    <w:rsid w:val="007218B8"/>
    <w:rsid w:val="00723297"/>
    <w:rsid w:val="00755C6A"/>
    <w:rsid w:val="00785FDE"/>
    <w:rsid w:val="007A0351"/>
    <w:rsid w:val="007A14BC"/>
    <w:rsid w:val="007A2CDD"/>
    <w:rsid w:val="007C1025"/>
    <w:rsid w:val="007E08BD"/>
    <w:rsid w:val="007E6845"/>
    <w:rsid w:val="007F5F8A"/>
    <w:rsid w:val="0081547D"/>
    <w:rsid w:val="00826CA1"/>
    <w:rsid w:val="00835B7F"/>
    <w:rsid w:val="00846248"/>
    <w:rsid w:val="00855E3A"/>
    <w:rsid w:val="00882985"/>
    <w:rsid w:val="008F051F"/>
    <w:rsid w:val="00922CB9"/>
    <w:rsid w:val="009350F7"/>
    <w:rsid w:val="009B526F"/>
    <w:rsid w:val="009C1AFD"/>
    <w:rsid w:val="009D442F"/>
    <w:rsid w:val="009D4BFB"/>
    <w:rsid w:val="00A26421"/>
    <w:rsid w:val="00A4293B"/>
    <w:rsid w:val="00A53609"/>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DE2FFE"/>
    <w:rsid w:val="00DF01D9"/>
    <w:rsid w:val="00E01293"/>
    <w:rsid w:val="00E027D1"/>
    <w:rsid w:val="00E52BC8"/>
    <w:rsid w:val="00E769FE"/>
    <w:rsid w:val="00EA2CBE"/>
    <w:rsid w:val="00EC4E9C"/>
    <w:rsid w:val="00EF3FFA"/>
    <w:rsid w:val="00F32FEE"/>
    <w:rsid w:val="00F53E69"/>
    <w:rsid w:val="00F80D7B"/>
    <w:rsid w:val="00FA1901"/>
    <w:rsid w:val="0FEE6921"/>
    <w:rsid w:val="15191829"/>
    <w:rsid w:val="19C95591"/>
    <w:rsid w:val="30907174"/>
    <w:rsid w:val="318877CF"/>
    <w:rsid w:val="364F350F"/>
    <w:rsid w:val="397F4FE8"/>
    <w:rsid w:val="3F983AB1"/>
    <w:rsid w:val="41D40A5F"/>
    <w:rsid w:val="48943B64"/>
    <w:rsid w:val="5960212C"/>
    <w:rsid w:val="59975186"/>
    <w:rsid w:val="5D7C2CBD"/>
    <w:rsid w:val="670B15F1"/>
    <w:rsid w:val="777419EB"/>
    <w:rsid w:val="785B5D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E0BBE5-86E5-4637-87C3-E77CF06B3E9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320</Words>
  <Characters>1830</Characters>
  <Lines>15</Lines>
  <Paragraphs>4</Paragraphs>
  <TotalTime>29</TotalTime>
  <ScaleCrop>false</ScaleCrop>
  <LinksUpToDate>false</LinksUpToDate>
  <CharactersWithSpaces>2146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2019-09-22T10:47:48Z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